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5E" w:rsidRPr="0032047A" w:rsidRDefault="00AB665E" w:rsidP="00AB665E">
      <w:pPr>
        <w:keepNext/>
        <w:keepLines/>
        <w:spacing w:before="260" w:after="260" w:line="416" w:lineRule="auto"/>
        <w:outlineLvl w:val="1"/>
        <w:rPr>
          <w:rFonts w:ascii="Cambria" w:hAnsi="Cambria" w:cs="Times New Roman"/>
          <w:b/>
          <w:bCs/>
          <w:sz w:val="32"/>
          <w:szCs w:val="32"/>
        </w:rPr>
      </w:pPr>
      <w:r w:rsidRPr="0032047A">
        <w:rPr>
          <w:rFonts w:ascii="Cambria" w:hAnsi="Cambria" w:cs="Times New Roman"/>
          <w:b/>
          <w:bCs/>
          <w:sz w:val="32"/>
          <w:szCs w:val="32"/>
        </w:rPr>
        <w:t>2020</w:t>
      </w:r>
      <w:r w:rsidRPr="0032047A">
        <w:rPr>
          <w:rFonts w:ascii="Cambria" w:hAnsi="Cambria" w:cs="Times New Roman" w:hint="eastAsia"/>
          <w:b/>
          <w:bCs/>
          <w:sz w:val="32"/>
          <w:szCs w:val="32"/>
        </w:rPr>
        <w:t>年度上海外国语大学教育发展基金会捐赠使用情况：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99"/>
        <w:gridCol w:w="1520"/>
        <w:gridCol w:w="1559"/>
        <w:gridCol w:w="1412"/>
        <w:gridCol w:w="1373"/>
      </w:tblGrid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32047A">
              <w:rPr>
                <w:rFonts w:ascii="宋体" w:hAnsi="宋体" w:cs="宋体" w:hint="eastAsia"/>
                <w:b/>
                <w:kern w:val="0"/>
              </w:rPr>
              <w:t>项目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32047A">
              <w:rPr>
                <w:rFonts w:ascii="宋体" w:hAnsi="宋体" w:cs="宋体" w:hint="eastAsia"/>
                <w:b/>
                <w:kern w:val="0"/>
              </w:rPr>
              <w:t>用途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32047A">
              <w:rPr>
                <w:rFonts w:ascii="宋体" w:hAnsi="宋体" w:cs="宋体" w:hint="eastAsia"/>
                <w:b/>
                <w:kern w:val="0"/>
              </w:rPr>
              <w:t>期初余额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32047A">
              <w:rPr>
                <w:rFonts w:ascii="宋体" w:hAnsi="宋体" w:cs="宋体" w:hint="eastAsia"/>
                <w:b/>
                <w:kern w:val="0"/>
              </w:rPr>
              <w:t>本期增加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32047A">
              <w:rPr>
                <w:rFonts w:ascii="宋体" w:hAnsi="宋体" w:cs="宋体" w:hint="eastAsia"/>
                <w:b/>
                <w:kern w:val="0"/>
              </w:rPr>
              <w:t>本期减少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32047A">
              <w:rPr>
                <w:rFonts w:ascii="宋体" w:hAnsi="宋体" w:cs="宋体" w:hint="eastAsia"/>
                <w:b/>
                <w:kern w:val="0"/>
              </w:rPr>
              <w:t>期末余额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江苏新环美（张卫东）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张卫东奖学金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77500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67500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三井住友银行奖学金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三井住友银行优秀学生奖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73800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42240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38400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77640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中国路桥教育基金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中国路桥奖教金、奖学金、助学金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200000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200000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赠与亚洲基金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张乃新奖学金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、助学金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477887.43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429740.95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465000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442628.38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住友电工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住友电工奖学金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797.19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3797.19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校友助学基金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开展相关院系校友活动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246917.4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3025.51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28000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221942.91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申万宏源基金</w:t>
            </w:r>
            <w:proofErr w:type="gramEnd"/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申万宏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源奖、助学金、奖教金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87319.16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85000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85000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87319.16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外教</w:t>
            </w: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社基金</w:t>
            </w:r>
            <w:proofErr w:type="gramEnd"/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外教社奖、助学金、奖教金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50666.45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71500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579166.45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席家花园（邵一兵）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邵一兵奖、奖学金、奖教金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65402.72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2500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32902.72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台湾东华书局奖学金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台湾东华书局奖学金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50000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物</w:t>
            </w: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语公司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教育基金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日语系教学科研与学生实践活动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9251.94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4178.01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5073.93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思</w:t>
            </w: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源教育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俄语</w:t>
            </w: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系优秀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学生奖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061000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7500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075500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弘江教育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弘江教育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基金奖学金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976000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970000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利</w:t>
            </w: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欧数字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创业基金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54082.19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4200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59882.19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中</w:t>
            </w: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博教育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支持学校国际金融贸易学院的教学科研与师生人才培养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会友教育基金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9829000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678345.26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150654.74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东方语学院学生活动基金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支持东方</w:t>
            </w:r>
            <w:proofErr w:type="gramStart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语学生</w:t>
            </w:r>
            <w:proofErr w:type="gramEnd"/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社会实践活动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2204.3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527.53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676.77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邹格兵教育基金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支持学校教学科研发展与校</w:t>
            </w: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lastRenderedPageBreak/>
              <w:t>友活动及</w:t>
            </w: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70</w:t>
            </w: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周年校庆活动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5756620.56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3200000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-14700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8971320.56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lastRenderedPageBreak/>
              <w:t>三菱商事奖学金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学生奖学金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30000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校庆专项基金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用于学校的校庆活动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2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2000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2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2000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泽</w:t>
            </w:r>
            <w:proofErr w:type="gramStart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稷</w:t>
            </w:r>
            <w:proofErr w:type="gramEnd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教育基金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支持学校国际金融贸易学院教学科研与人才培养工作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800000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52000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748000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proofErr w:type="gramStart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安硕基础教育</w:t>
            </w:r>
            <w:proofErr w:type="gramEnd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支持学校基础教育工作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2500000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1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600000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9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吴贤良</w:t>
            </w:r>
            <w:proofErr w:type="gramStart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励志奖</w:t>
            </w:r>
            <w:proofErr w:type="gramEnd"/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支持和推动学校教育事业的发展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2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2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2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2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西索德育教育基金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支持德语系教学科研与学生实践活动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2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1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3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康师傅教育基金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资助工商管理学院贫困生与上</w:t>
            </w:r>
            <w:proofErr w:type="gramStart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外就业</w:t>
            </w:r>
            <w:proofErr w:type="gramEnd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指导中心双创指导中心的运营与维护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200000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100000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300000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SISU-RAE</w:t>
            </w: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人文教育基金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支持</w:t>
            </w: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SISU-RAE</w:t>
            </w: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联合中心的运营与维护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1748810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2404730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1748810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/>
                <w:bCs/>
                <w:sz w:val="20"/>
                <w:szCs w:val="20"/>
              </w:rPr>
              <w:t>2404730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proofErr w:type="gramStart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帝泰教育</w:t>
            </w:r>
            <w:proofErr w:type="gramEnd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用于学校疫情防控工作及采购医疗防护物资款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1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1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德</w:t>
            </w:r>
            <w:proofErr w:type="gramStart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熵教育</w:t>
            </w:r>
            <w:proofErr w:type="gramEnd"/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1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9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016.35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9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0983.65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上汽基金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发放教师专著奖励费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4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4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薛蕃康讲座基金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1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047A">
              <w:rPr>
                <w:rFonts w:ascii="Arial" w:hAnsi="Arial" w:cs="Arial" w:hint="eastAsia"/>
                <w:bCs/>
                <w:sz w:val="20"/>
                <w:szCs w:val="20"/>
              </w:rPr>
              <w:t>1</w:t>
            </w:r>
            <w:r w:rsidRPr="0032047A">
              <w:rPr>
                <w:rFonts w:ascii="Arial" w:hAnsi="Arial" w:cs="Arial"/>
                <w:bCs/>
                <w:sz w:val="20"/>
                <w:szCs w:val="20"/>
              </w:rPr>
              <w:t>00000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伊思教育基金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俄欧亚学生奖学金</w:t>
            </w: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32047A">
              <w:rPr>
                <w:rFonts w:ascii="宋体" w:hAnsi="宋体" w:cs="宋体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32047A">
              <w:rPr>
                <w:rFonts w:ascii="宋体" w:hAnsi="宋体" w:cs="宋体"/>
                <w:color w:val="000000"/>
                <w:kern w:val="0"/>
                <w:lang w:bidi="ar"/>
              </w:rPr>
              <w:t>50000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32047A"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  <w:r w:rsidRPr="0032047A">
              <w:rPr>
                <w:rFonts w:ascii="宋体" w:hAnsi="宋体" w:cs="宋体"/>
                <w:color w:val="000000"/>
                <w:kern w:val="0"/>
                <w:lang w:bidi="ar"/>
              </w:rPr>
              <w:t>800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 w:rsidRPr="0032047A"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  <w:r w:rsidRPr="0032047A">
              <w:rPr>
                <w:rFonts w:ascii="宋体" w:hAnsi="宋体" w:cs="宋体"/>
                <w:color w:val="000000"/>
                <w:kern w:val="0"/>
                <w:lang w:bidi="ar"/>
              </w:rPr>
              <w:t>4200</w:t>
            </w:r>
          </w:p>
        </w:tc>
      </w:tr>
      <w:tr w:rsidR="00AB665E" w:rsidRPr="0032047A" w:rsidTr="00855B11">
        <w:trPr>
          <w:trHeight w:val="276"/>
        </w:trPr>
        <w:tc>
          <w:tcPr>
            <w:tcW w:w="184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32047A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59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  <w:r w:rsidRPr="0032047A">
              <w:rPr>
                <w:rFonts w:ascii="Arial" w:hAnsi="Arial" w:cs="Arial" w:hint="eastAsia"/>
                <w:bCs/>
              </w:rPr>
              <w:t>2</w:t>
            </w:r>
            <w:r w:rsidRPr="0032047A">
              <w:rPr>
                <w:rFonts w:ascii="Arial" w:hAnsi="Arial" w:cs="Arial"/>
                <w:bCs/>
              </w:rPr>
              <w:t>7696259.34</w:t>
            </w:r>
          </w:p>
        </w:tc>
        <w:tc>
          <w:tcPr>
            <w:tcW w:w="1559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  <w:r w:rsidRPr="0032047A">
              <w:rPr>
                <w:rFonts w:ascii="Arial" w:hAnsi="Arial" w:cs="Arial" w:hint="eastAsia"/>
                <w:bCs/>
              </w:rPr>
              <w:t>7</w:t>
            </w:r>
            <w:r w:rsidRPr="0032047A">
              <w:rPr>
                <w:rFonts w:ascii="Arial" w:hAnsi="Arial" w:cs="Arial"/>
                <w:bCs/>
              </w:rPr>
              <w:t>447236.46</w:t>
            </w:r>
          </w:p>
        </w:tc>
        <w:tc>
          <w:tcPr>
            <w:tcW w:w="1412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  <w:r w:rsidRPr="0032047A">
              <w:rPr>
                <w:rFonts w:ascii="Arial" w:hAnsi="Arial" w:cs="Arial" w:hint="eastAsia"/>
                <w:bCs/>
              </w:rPr>
              <w:t>1</w:t>
            </w:r>
            <w:r w:rsidRPr="0032047A">
              <w:rPr>
                <w:rFonts w:ascii="Arial" w:hAnsi="Arial" w:cs="Arial"/>
                <w:bCs/>
              </w:rPr>
              <w:t>2390577.15</w:t>
            </w:r>
          </w:p>
        </w:tc>
        <w:tc>
          <w:tcPr>
            <w:tcW w:w="1373" w:type="dxa"/>
            <w:noWrap/>
            <w:vAlign w:val="center"/>
          </w:tcPr>
          <w:p w:rsidR="00AB665E" w:rsidRPr="0032047A" w:rsidRDefault="00AB665E" w:rsidP="00855B1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  <w:r w:rsidRPr="0032047A">
              <w:rPr>
                <w:rFonts w:ascii="Arial" w:hAnsi="Arial" w:cs="Arial" w:hint="eastAsia"/>
                <w:bCs/>
              </w:rPr>
              <w:t>2</w:t>
            </w:r>
            <w:r w:rsidRPr="0032047A">
              <w:rPr>
                <w:rFonts w:ascii="Arial" w:hAnsi="Arial" w:cs="Arial"/>
                <w:bCs/>
              </w:rPr>
              <w:t>2752918.65</w:t>
            </w:r>
          </w:p>
        </w:tc>
      </w:tr>
    </w:tbl>
    <w:p w:rsidR="00AB665E" w:rsidRPr="0032047A" w:rsidRDefault="00AB665E" w:rsidP="00AB665E">
      <w:pPr>
        <w:jc w:val="center"/>
        <w:rPr>
          <w:rFonts w:ascii="等线" w:eastAsia="等线" w:hAnsi="等线" w:cs="Times New Roman"/>
          <w:sz w:val="24"/>
          <w:szCs w:val="24"/>
        </w:rPr>
      </w:pPr>
    </w:p>
    <w:p w:rsidR="00AB665E" w:rsidRPr="0032047A" w:rsidRDefault="00AB665E" w:rsidP="00AB665E">
      <w:pPr>
        <w:jc w:val="center"/>
        <w:rPr>
          <w:rFonts w:asciiTheme="minorHAnsi" w:eastAsiaTheme="minorEastAsia" w:hAnsiTheme="minorHAnsi" w:cstheme="minorBidi"/>
          <w:szCs w:val="22"/>
        </w:rPr>
      </w:pPr>
    </w:p>
    <w:p w:rsidR="00AB665E" w:rsidRPr="0032047A" w:rsidRDefault="00AB665E" w:rsidP="00AB665E"/>
    <w:p w:rsidR="00211D85" w:rsidRDefault="00AB665E">
      <w:bookmarkStart w:id="0" w:name="_GoBack"/>
      <w:bookmarkEnd w:id="0"/>
    </w:p>
    <w:sectPr w:rsidR="00211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5E"/>
    <w:rsid w:val="00481BCF"/>
    <w:rsid w:val="00AB665E"/>
    <w:rsid w:val="00F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5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5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杨晴琦</dc:creator>
  <cp:lastModifiedBy>杨晴琦</cp:lastModifiedBy>
  <cp:revision>1</cp:revision>
  <dcterms:created xsi:type="dcterms:W3CDTF">2021-05-08T02:09:00Z</dcterms:created>
  <dcterms:modified xsi:type="dcterms:W3CDTF">2021-05-08T02:09:00Z</dcterms:modified>
</cp:coreProperties>
</file>